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D" w:rsidRDefault="003B1DDD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3B1DDD" w:rsidRDefault="003B1DDD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3B1DDD" w:rsidRDefault="003B1DDD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7"/>
        <w:gridCol w:w="3948"/>
        <w:gridCol w:w="2378"/>
        <w:gridCol w:w="1903"/>
      </w:tblGrid>
      <w:tr w:rsidR="003B1DDD" w:rsidRPr="00F12458" w:rsidTr="00DA22A4">
        <w:tc>
          <w:tcPr>
            <w:tcW w:w="1526" w:type="dxa"/>
          </w:tcPr>
          <w:p w:rsidR="003B1DDD" w:rsidRPr="00F12458" w:rsidRDefault="003B1DDD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3B1DDD" w:rsidRPr="00F12458" w:rsidRDefault="003B1DDD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3B1DDD" w:rsidRPr="00F12458" w:rsidRDefault="003B1DDD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3B1DDD" w:rsidRPr="00F12458" w:rsidRDefault="003B1DDD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3B1DDD" w:rsidRPr="00F12458" w:rsidTr="00DA22A4">
        <w:tc>
          <w:tcPr>
            <w:tcW w:w="1526" w:type="dxa"/>
          </w:tcPr>
          <w:p w:rsidR="003B1DDD" w:rsidRPr="006333E9" w:rsidRDefault="003B1DDD" w:rsidP="00DA22A4">
            <w:pPr>
              <w:jc w:val="center"/>
              <w:rPr>
                <w:sz w:val="24"/>
                <w:szCs w:val="24"/>
              </w:rPr>
            </w:pPr>
            <w:r w:rsidRPr="006333E9">
              <w:rPr>
                <w:sz w:val="24"/>
                <w:szCs w:val="24"/>
              </w:rPr>
              <w:t>Будаев Эдуард Владимирович</w:t>
            </w:r>
          </w:p>
        </w:tc>
        <w:tc>
          <w:tcPr>
            <w:tcW w:w="4111" w:type="dxa"/>
          </w:tcPr>
          <w:p w:rsidR="003B1DDD" w:rsidRPr="006333E9" w:rsidRDefault="003B1DDD" w:rsidP="006333E9">
            <w:pPr>
              <w:jc w:val="both"/>
              <w:rPr>
                <w:sz w:val="24"/>
                <w:szCs w:val="24"/>
              </w:rPr>
            </w:pPr>
            <w:r w:rsidRPr="006333E9">
              <w:rPr>
                <w:sz w:val="24"/>
                <w:szCs w:val="24"/>
              </w:rPr>
              <w:t>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</w:t>
            </w:r>
            <w:r>
              <w:rPr>
                <w:sz w:val="24"/>
                <w:szCs w:val="24"/>
              </w:rPr>
              <w:t xml:space="preserve"> (</w:t>
            </w:r>
            <w:r w:rsidRPr="006333E9">
              <w:rPr>
                <w:sz w:val="24"/>
                <w:szCs w:val="24"/>
              </w:rPr>
              <w:t>622031, Свердловская обл.</w:t>
            </w:r>
            <w:r>
              <w:rPr>
                <w:sz w:val="24"/>
                <w:szCs w:val="24"/>
              </w:rPr>
              <w:t>, г. </w:t>
            </w:r>
            <w:r w:rsidRPr="006333E9">
              <w:rPr>
                <w:sz w:val="24"/>
                <w:szCs w:val="24"/>
              </w:rPr>
              <w:t>Нижний Тагил</w:t>
            </w:r>
            <w:r>
              <w:rPr>
                <w:sz w:val="24"/>
                <w:szCs w:val="24"/>
              </w:rPr>
              <w:t xml:space="preserve">, </w:t>
            </w:r>
            <w:r w:rsidRPr="006333E9">
              <w:rPr>
                <w:sz w:val="24"/>
                <w:szCs w:val="24"/>
              </w:rPr>
              <w:t>ул. Красногвардейская, 57</w:t>
            </w:r>
            <w:r>
              <w:rPr>
                <w:sz w:val="24"/>
                <w:szCs w:val="24"/>
              </w:rPr>
              <w:t xml:space="preserve">; </w:t>
            </w:r>
            <w:r w:rsidRPr="006333E9">
              <w:rPr>
                <w:sz w:val="24"/>
                <w:szCs w:val="24"/>
              </w:rPr>
              <w:t>тел. (3435) 25-48-00</w:t>
            </w:r>
            <w:r>
              <w:rPr>
                <w:sz w:val="24"/>
                <w:szCs w:val="24"/>
              </w:rPr>
              <w:t xml:space="preserve">; </w:t>
            </w:r>
            <w:r w:rsidRPr="006333E9">
              <w:rPr>
                <w:sz w:val="24"/>
                <w:szCs w:val="24"/>
              </w:rPr>
              <w:t>e-mail: office@ntspi.ru</w:t>
            </w:r>
            <w:r>
              <w:rPr>
                <w:sz w:val="24"/>
                <w:szCs w:val="24"/>
              </w:rPr>
              <w:t>)</w:t>
            </w:r>
            <w:r w:rsidRPr="006333E9">
              <w:rPr>
                <w:sz w:val="24"/>
                <w:szCs w:val="24"/>
              </w:rPr>
              <w:t>, Министерство образования и науки РФ, профессор кафедры иностранных языков, теории и методики обучения</w:t>
            </w:r>
            <w:r>
              <w:rPr>
                <w:sz w:val="24"/>
                <w:szCs w:val="24"/>
              </w:rPr>
              <w:t xml:space="preserve"> факультета филологии и массовых коммуникаций</w:t>
            </w:r>
          </w:p>
        </w:tc>
        <w:tc>
          <w:tcPr>
            <w:tcW w:w="2410" w:type="dxa"/>
          </w:tcPr>
          <w:p w:rsidR="003B1DDD" w:rsidRPr="006333E9" w:rsidRDefault="003B1DDD" w:rsidP="00DA22A4">
            <w:pPr>
              <w:jc w:val="center"/>
              <w:rPr>
                <w:sz w:val="24"/>
                <w:szCs w:val="24"/>
              </w:rPr>
            </w:pPr>
            <w:r w:rsidRPr="006333E9">
              <w:rPr>
                <w:sz w:val="24"/>
                <w:szCs w:val="24"/>
              </w:rPr>
              <w:t>Доктор филологических наук, 10.02.20 – Сравнительно-историческое, типологическое и сопоставительное языкознание</w:t>
            </w:r>
          </w:p>
        </w:tc>
        <w:tc>
          <w:tcPr>
            <w:tcW w:w="1919" w:type="dxa"/>
          </w:tcPr>
          <w:p w:rsidR="003B1DDD" w:rsidRPr="006333E9" w:rsidRDefault="003B1DDD" w:rsidP="00DA22A4">
            <w:pPr>
              <w:jc w:val="center"/>
              <w:rPr>
                <w:sz w:val="24"/>
                <w:szCs w:val="24"/>
              </w:rPr>
            </w:pPr>
            <w:r w:rsidRPr="006333E9">
              <w:rPr>
                <w:sz w:val="24"/>
                <w:szCs w:val="24"/>
              </w:rPr>
              <w:t>доцент по кафедре иностранных языков</w:t>
            </w:r>
          </w:p>
        </w:tc>
      </w:tr>
      <w:tr w:rsidR="003B1DDD" w:rsidRPr="00F12458" w:rsidTr="00DA22A4">
        <w:tc>
          <w:tcPr>
            <w:tcW w:w="9966" w:type="dxa"/>
            <w:gridSpan w:val="4"/>
          </w:tcPr>
          <w:p w:rsidR="003B1DDD" w:rsidRPr="00F12458" w:rsidRDefault="003B1DDD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B1DDD" w:rsidRPr="000F1B60" w:rsidTr="000F1B60">
        <w:trPr>
          <w:trHeight w:val="69"/>
        </w:trPr>
        <w:tc>
          <w:tcPr>
            <w:tcW w:w="9966" w:type="dxa"/>
            <w:gridSpan w:val="4"/>
          </w:tcPr>
          <w:p w:rsidR="003B1DDD" w:rsidRDefault="003B1DDD" w:rsidP="000F1B60">
            <w:pPr>
              <w:jc w:val="both"/>
              <w:rPr>
                <w:sz w:val="24"/>
                <w:szCs w:val="24"/>
              </w:rPr>
            </w:pP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 В. Когнитивная теория метафоры: новые горизонты // Известия Уральского федерального университета. Сер. 1. Проблемы образования, науки и культуры. – 2013. – № 1(110). – С. 6–13.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 В. Гендерные стереотипы метафорического осмысления политики // Мужчина и маскулинность в пространстве текста. – Бердянск: БГПУ, 2013. – С. 27–38.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Э.В. Сопоставительный дискурс-анализ политических метафор // Политическая коммуникация: перспективы развития научного направления: материалы Междунар. науч. конф. (Екатеринбург, 26–28.08.2014) / гл. ред. А. П. Чудинов ; ФГБОУ ВПО «Урал. гос. пед. ун-т». — Екатеринбург, 2014. – С. 35–37.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Э.В., Чудинов А.П. Риторические и когнитивные истоки современной политической метафорологии // Лингвистика XXI в.: сб. науч. статей. : к 65-летнему юбилею проф. В.А. Масловой / соред. В.В. Колесов, М.В. Пименова, В.И. Теркулов. – М.: ФЛИНТА, 2014. – С. 84-88.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 xml:space="preserve">Будаев Э.В. Динамические характеристики метафор болезни в российских СМИ // Имплицитные и эксплицитные стратегии в восточноевропейском политическом дискурсе: материалы российской секции международной конференции «Ain’t misbehavin’? </w:t>
            </w:r>
            <w:r w:rsidRPr="000F1B60">
              <w:rPr>
                <w:sz w:val="24"/>
                <w:szCs w:val="24"/>
                <w:lang w:val="en-US"/>
              </w:rPr>
              <w:t xml:space="preserve">Implicit and explicit strategies in Eastern European political discourse» / </w:t>
            </w:r>
            <w:r w:rsidRPr="000F1B60">
              <w:rPr>
                <w:sz w:val="24"/>
                <w:szCs w:val="24"/>
              </w:rPr>
              <w:t>Под</w:t>
            </w:r>
            <w:r w:rsidRPr="000F1B60">
              <w:rPr>
                <w:sz w:val="24"/>
                <w:szCs w:val="24"/>
                <w:lang w:val="en-US"/>
              </w:rPr>
              <w:t xml:space="preserve"> </w:t>
            </w:r>
            <w:r w:rsidRPr="000F1B60">
              <w:rPr>
                <w:sz w:val="24"/>
                <w:szCs w:val="24"/>
              </w:rPr>
              <w:t>ред</w:t>
            </w:r>
            <w:r w:rsidRPr="000F1B60">
              <w:rPr>
                <w:sz w:val="24"/>
                <w:szCs w:val="24"/>
                <w:lang w:val="en-US"/>
              </w:rPr>
              <w:t xml:space="preserve">. </w:t>
            </w:r>
            <w:r w:rsidRPr="000F1B60">
              <w:rPr>
                <w:sz w:val="24"/>
                <w:szCs w:val="24"/>
              </w:rPr>
              <w:t xml:space="preserve">А.П. Чудинова, Э.В. Будаева ; ФГБОУ ВПО «УРГПУ» ; Цюрихский университет. – Екатеринбург: УрГПУ, 2014. – С. 32–38. 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Э.В. Метафорический образ будущего России в политическом дискурсе // Политическая лингвистика. – 2014. – № 2. – С. 279–282.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Аникин Е.Е., Будаев Э.В., Чудинов А.П. Архетипы и инновации в диахронической динамике метафорических систем в политической коммуникации // Вестник Воронежского государственного университета. Серия: Лингвистика и межкультурная коммуникация. 2015. № 1. С. 5–11.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  <w:lang w:val="en-US"/>
              </w:rPr>
            </w:pPr>
            <w:r w:rsidRPr="000F1B60">
              <w:rPr>
                <w:sz w:val="24"/>
                <w:szCs w:val="24"/>
                <w:lang w:val="en-US"/>
              </w:rPr>
              <w:t>Budaev E.V., Chudinov A.P., Trubina G.F. Conceptual Metaphor in Educational Discourse // Biosciences, Biotechnology Research Asia. – 2015. – Vol 12(1). – P. 561–567.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Э.В. Метафора как механизм геополитической борьбы // Трансляция иноязычной культуры в процессе преподавания иностранного языка: сб. науч. тр. / Чуваш. гос. пед. ун-т; отв. ред. И.В. Воробьева. – Чебоксары: Чуваш. гос. пед. ун-т, 2015. – С. 19–24.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Э.В., Чудинов А.П. Диахроническая динамика морбиальных метафор в политической коммуникации // Русский язык и литература в пространстве мировой культуры: Материалы XIII Конгресса МАПРЯЛ. (г. Гранада, Испания, 13-20 сентября, 2015 г.). Т. 5. СПб: МАПРЯЛ, 2015. – С. 225–230.</w:t>
            </w:r>
            <w:r w:rsidRPr="000F1B60">
              <w:rPr>
                <w:sz w:val="24"/>
                <w:szCs w:val="24"/>
              </w:rPr>
              <w:tab/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Э.В. Концептуальная метафора на службе у разведки США // Политическая лингвистика. 2015. № 52. С. 12–16.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  <w:lang w:val="en-US"/>
              </w:rPr>
              <w:t xml:space="preserve">Anikin E.E., Budaev E.V., Chudinov A.P. Historical dynamics of metaphoric systems in Russian political communication // </w:t>
            </w:r>
            <w:r w:rsidRPr="000F1B60">
              <w:rPr>
                <w:sz w:val="24"/>
                <w:szCs w:val="24"/>
              </w:rPr>
              <w:t>Вопросы</w:t>
            </w:r>
            <w:r w:rsidRPr="000F1B60">
              <w:rPr>
                <w:sz w:val="24"/>
                <w:szCs w:val="24"/>
                <w:lang w:val="en-US"/>
              </w:rPr>
              <w:t xml:space="preserve"> </w:t>
            </w:r>
            <w:r w:rsidRPr="000F1B60">
              <w:rPr>
                <w:sz w:val="24"/>
                <w:szCs w:val="24"/>
              </w:rPr>
              <w:t>когнитивной</w:t>
            </w:r>
            <w:r w:rsidRPr="000F1B60">
              <w:rPr>
                <w:sz w:val="24"/>
                <w:szCs w:val="24"/>
                <w:lang w:val="en-US"/>
              </w:rPr>
              <w:t xml:space="preserve"> </w:t>
            </w:r>
            <w:r w:rsidRPr="000F1B60">
              <w:rPr>
                <w:sz w:val="24"/>
                <w:szCs w:val="24"/>
              </w:rPr>
              <w:t>лингвистики</w:t>
            </w:r>
            <w:r w:rsidRPr="000F1B60">
              <w:rPr>
                <w:sz w:val="24"/>
                <w:szCs w:val="24"/>
                <w:lang w:val="en-US"/>
              </w:rPr>
              <w:t xml:space="preserve">. </w:t>
            </w:r>
            <w:r w:rsidRPr="000F1B60">
              <w:rPr>
                <w:sz w:val="24"/>
                <w:szCs w:val="24"/>
              </w:rPr>
              <w:t>2015. № 3. С. 26-32.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0F1B60">
              <w:rPr>
                <w:sz w:val="24"/>
                <w:szCs w:val="24"/>
              </w:rPr>
              <w:t>Будаев Э.В. Дискурсивный подход к анализу политической метафоры // Культура и текст. – 2016. – № 1 (24). – С. 5–19.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Э.В. Нейрокогнитивный и психолингвистический подходы к анализу политических метафор // Психолингвистические аспекты изучения речевой деятельности / ФГБОУ ВПО «Урал. гос. пед. ун-т». – Вып. 14 / Материалы Международной научной конференции «Язык. Система. Личность: Лингвистика креатива» 22-23 апреля 2016 / Гл. ред. Т.А. Гридина. – Екатеринбург, 2016. – С. 17–24.</w:t>
            </w:r>
          </w:p>
          <w:p w:rsidR="003B1DDD" w:rsidRPr="000F1B60" w:rsidRDefault="003B1DDD" w:rsidP="000F1B60">
            <w:pPr>
              <w:pStyle w:val="ListParagraph"/>
              <w:numPr>
                <w:ilvl w:val="0"/>
                <w:numId w:val="1"/>
              </w:numPr>
              <w:ind w:left="738" w:hanging="720"/>
              <w:jc w:val="both"/>
              <w:rPr>
                <w:sz w:val="24"/>
                <w:szCs w:val="24"/>
              </w:rPr>
            </w:pPr>
            <w:r w:rsidRPr="000F1B60">
              <w:rPr>
                <w:sz w:val="24"/>
                <w:szCs w:val="24"/>
              </w:rPr>
              <w:t>Будаев Э.В., Тихонов В.В. Зооморфные метафоры как инструмент концептуализации сирийского конфликта в СМИ России и США // Политическая лингвистика. 2016. № 2. С. 43-49.</w:t>
            </w:r>
          </w:p>
          <w:p w:rsidR="003B1DDD" w:rsidRPr="000F1B60" w:rsidRDefault="003B1DDD" w:rsidP="000F1B6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B1DDD" w:rsidRPr="000F1B60" w:rsidRDefault="003B1DDD" w:rsidP="000F1B60">
      <w:pPr>
        <w:jc w:val="both"/>
        <w:rPr>
          <w:sz w:val="24"/>
          <w:szCs w:val="24"/>
        </w:rPr>
      </w:pPr>
    </w:p>
    <w:p w:rsidR="003B1DDD" w:rsidRPr="000F1B60" w:rsidRDefault="003B1DDD" w:rsidP="000F1B60">
      <w:pPr>
        <w:tabs>
          <w:tab w:val="left" w:pos="914"/>
        </w:tabs>
        <w:ind w:left="4042" w:firstLine="914"/>
        <w:jc w:val="both"/>
        <w:rPr>
          <w:b/>
          <w:sz w:val="24"/>
          <w:szCs w:val="24"/>
        </w:rPr>
      </w:pPr>
    </w:p>
    <w:p w:rsidR="003B1DDD" w:rsidRDefault="003B1DDD" w:rsidP="004A4E27">
      <w:pPr>
        <w:tabs>
          <w:tab w:val="left" w:pos="914"/>
        </w:tabs>
        <w:ind w:left="4042" w:firstLine="914"/>
        <w:rPr>
          <w:b/>
        </w:rPr>
      </w:pPr>
    </w:p>
    <w:p w:rsidR="003B1DDD" w:rsidRDefault="003B1DDD" w:rsidP="004A4E27">
      <w:pPr>
        <w:tabs>
          <w:tab w:val="left" w:pos="914"/>
        </w:tabs>
        <w:ind w:left="4042" w:firstLine="914"/>
        <w:rPr>
          <w:b/>
        </w:rPr>
      </w:pPr>
    </w:p>
    <w:p w:rsidR="003B1DDD" w:rsidRPr="002642B0" w:rsidRDefault="003B1DDD" w:rsidP="006D7CE4">
      <w:pPr>
        <w:ind w:left="4956"/>
        <w:rPr>
          <w:sz w:val="24"/>
          <w:szCs w:val="24"/>
        </w:rPr>
      </w:pPr>
    </w:p>
    <w:sectPr w:rsidR="003B1DDD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DD" w:rsidRDefault="003B1DDD">
      <w:r>
        <w:separator/>
      </w:r>
    </w:p>
  </w:endnote>
  <w:endnote w:type="continuationSeparator" w:id="0">
    <w:p w:rsidR="003B1DDD" w:rsidRDefault="003B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DD" w:rsidRDefault="003B1DDD">
      <w:r>
        <w:separator/>
      </w:r>
    </w:p>
  </w:footnote>
  <w:footnote w:type="continuationSeparator" w:id="0">
    <w:p w:rsidR="003B1DDD" w:rsidRDefault="003B1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34FA"/>
    <w:multiLevelType w:val="hybridMultilevel"/>
    <w:tmpl w:val="793E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80073"/>
    <w:multiLevelType w:val="hybridMultilevel"/>
    <w:tmpl w:val="1EF8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63089"/>
    <w:rsid w:val="000B030C"/>
    <w:rsid w:val="000B47D6"/>
    <w:rsid w:val="000F1B60"/>
    <w:rsid w:val="001112F4"/>
    <w:rsid w:val="002642B0"/>
    <w:rsid w:val="002C38F5"/>
    <w:rsid w:val="002C4DD2"/>
    <w:rsid w:val="003B1DDD"/>
    <w:rsid w:val="0040370B"/>
    <w:rsid w:val="004A4E27"/>
    <w:rsid w:val="004B04CE"/>
    <w:rsid w:val="00535610"/>
    <w:rsid w:val="00574870"/>
    <w:rsid w:val="00613F1D"/>
    <w:rsid w:val="006333E9"/>
    <w:rsid w:val="006730A0"/>
    <w:rsid w:val="006D7CE4"/>
    <w:rsid w:val="007E0FBE"/>
    <w:rsid w:val="009A0F63"/>
    <w:rsid w:val="00B16646"/>
    <w:rsid w:val="00B903F9"/>
    <w:rsid w:val="00C64E54"/>
    <w:rsid w:val="00CE754A"/>
    <w:rsid w:val="00DA22A4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F1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685</Words>
  <Characters>3908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2</cp:revision>
  <dcterms:created xsi:type="dcterms:W3CDTF">2016-09-28T10:00:00Z</dcterms:created>
  <dcterms:modified xsi:type="dcterms:W3CDTF">2016-09-28T10:00:00Z</dcterms:modified>
</cp:coreProperties>
</file>